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E213" w14:textId="77777777" w:rsidR="00A3766B" w:rsidRDefault="00A3766B" w:rsidP="00153B15">
      <w:r>
        <w:t>Het ABC van het GLB – afkortingenlijst met duiding</w:t>
      </w:r>
    </w:p>
    <w:tbl>
      <w:tblPr>
        <w:tblStyle w:val="Tabelraster"/>
        <w:tblW w:w="9288" w:type="dxa"/>
        <w:tblLayout w:type="fixed"/>
        <w:tblLook w:val="04A0" w:firstRow="1" w:lastRow="0" w:firstColumn="1" w:lastColumn="0" w:noHBand="0" w:noVBand="1"/>
      </w:tblPr>
      <w:tblGrid>
        <w:gridCol w:w="1101"/>
        <w:gridCol w:w="2863"/>
        <w:gridCol w:w="2807"/>
        <w:gridCol w:w="2517"/>
      </w:tblGrid>
      <w:tr w:rsidR="00153B15" w14:paraId="6EF43E60" w14:textId="77777777" w:rsidTr="00153B15">
        <w:tc>
          <w:tcPr>
            <w:tcW w:w="1101" w:type="dxa"/>
          </w:tcPr>
          <w:p w14:paraId="1AACA8A8" w14:textId="77777777" w:rsidR="00153B15" w:rsidRDefault="00153B15" w:rsidP="00153B15"/>
          <w:p w14:paraId="6CCEE535" w14:textId="77777777" w:rsidR="00153B15" w:rsidRPr="00153B15" w:rsidRDefault="00153B15" w:rsidP="00153B15">
            <w:pPr>
              <w:rPr>
                <w:b/>
                <w:bCs/>
              </w:rPr>
            </w:pPr>
            <w:r w:rsidRPr="00153B15">
              <w:rPr>
                <w:b/>
                <w:bCs/>
              </w:rPr>
              <w:t>AMKM</w:t>
            </w:r>
          </w:p>
        </w:tc>
        <w:tc>
          <w:tcPr>
            <w:tcW w:w="2863" w:type="dxa"/>
          </w:tcPr>
          <w:p w14:paraId="583C1A96" w14:textId="77777777" w:rsidR="00153B15" w:rsidRDefault="00153B15" w:rsidP="00153B15">
            <w:proofErr w:type="spellStart"/>
            <w:r>
              <w:t>Agromilieuklimaatmaatregel</w:t>
            </w:r>
            <w:proofErr w:type="spellEnd"/>
          </w:p>
        </w:tc>
        <w:tc>
          <w:tcPr>
            <w:tcW w:w="2807" w:type="dxa"/>
          </w:tcPr>
          <w:p w14:paraId="14D4E1E8" w14:textId="77777777" w:rsidR="00153B15" w:rsidRDefault="00153B15" w:rsidP="00153B15">
            <w:r>
              <w:t>Een vrijwillige, meerjarige maatregel ten behoeve van milieu, klimaat, biodiversiteit of dierenwelzijn. Beheer gebeurt bij departement landbouw en visserij</w:t>
            </w:r>
          </w:p>
        </w:tc>
        <w:tc>
          <w:tcPr>
            <w:tcW w:w="2517" w:type="dxa"/>
          </w:tcPr>
          <w:p w14:paraId="45EB4CF5" w14:textId="77777777" w:rsidR="00153B15" w:rsidRDefault="00153B15" w:rsidP="00153B15"/>
        </w:tc>
      </w:tr>
      <w:tr w:rsidR="00153B15" w14:paraId="66A14114" w14:textId="77777777" w:rsidTr="00153B15">
        <w:tc>
          <w:tcPr>
            <w:tcW w:w="1101" w:type="dxa"/>
            <w:tcBorders>
              <w:top w:val="nil"/>
            </w:tcBorders>
          </w:tcPr>
          <w:p w14:paraId="2B09CDE1" w14:textId="77777777" w:rsidR="00153B15" w:rsidRPr="00153B15" w:rsidRDefault="00153B15" w:rsidP="00153B15">
            <w:pPr>
              <w:rPr>
                <w:b/>
                <w:bCs/>
              </w:rPr>
            </w:pPr>
            <w:r w:rsidRPr="00153B15">
              <w:rPr>
                <w:b/>
                <w:bCs/>
              </w:rPr>
              <w:t>BG</w:t>
            </w:r>
          </w:p>
        </w:tc>
        <w:tc>
          <w:tcPr>
            <w:tcW w:w="2863" w:type="dxa"/>
          </w:tcPr>
          <w:p w14:paraId="322C04E2" w14:textId="77777777" w:rsidR="00153B15" w:rsidRDefault="00153B15" w:rsidP="00153B15">
            <w:r>
              <w:t>Blijvend Grasland</w:t>
            </w:r>
          </w:p>
        </w:tc>
        <w:tc>
          <w:tcPr>
            <w:tcW w:w="2807" w:type="dxa"/>
          </w:tcPr>
          <w:p w14:paraId="5DC42B44" w14:textId="77777777" w:rsidR="00153B15" w:rsidRPr="007E17D3" w:rsidRDefault="00153B15" w:rsidP="00153B15">
            <w:r w:rsidRPr="00661F55">
              <w:t xml:space="preserve">Elk perceel dat gedurende een periode van vijf opeenvolgende jaren </w:t>
            </w:r>
            <w:r>
              <w:t>aangehouden wordt</w:t>
            </w:r>
            <w:r w:rsidRPr="00661F55">
              <w:t xml:space="preserve"> als ‘Grassen en andere kruidachtige voedergewassen’, wordt ‘Blijvend grasland’.</w:t>
            </w:r>
          </w:p>
        </w:tc>
        <w:tc>
          <w:tcPr>
            <w:tcW w:w="2517" w:type="dxa"/>
          </w:tcPr>
          <w:p w14:paraId="49BCAF63" w14:textId="77777777" w:rsidR="00153B15" w:rsidRDefault="00153B15" w:rsidP="00153B15"/>
        </w:tc>
      </w:tr>
      <w:tr w:rsidR="00153B15" w14:paraId="028CF2BE" w14:textId="77777777" w:rsidTr="00153B15">
        <w:tc>
          <w:tcPr>
            <w:tcW w:w="1101" w:type="dxa"/>
          </w:tcPr>
          <w:p w14:paraId="534A8D7B" w14:textId="77777777" w:rsidR="00153B15" w:rsidRPr="00153B15" w:rsidRDefault="00153B15" w:rsidP="00153B15">
            <w:pPr>
              <w:rPr>
                <w:b/>
                <w:bCs/>
              </w:rPr>
            </w:pPr>
            <w:r w:rsidRPr="00153B15">
              <w:rPr>
                <w:b/>
                <w:bCs/>
              </w:rPr>
              <w:t>BO</w:t>
            </w:r>
          </w:p>
        </w:tc>
        <w:tc>
          <w:tcPr>
            <w:tcW w:w="2863" w:type="dxa"/>
          </w:tcPr>
          <w:p w14:paraId="6E229321" w14:textId="77777777" w:rsidR="00153B15" w:rsidRDefault="00153B15" w:rsidP="00153B15">
            <w:r>
              <w:t>Beheerovereenkomst</w:t>
            </w:r>
          </w:p>
        </w:tc>
        <w:tc>
          <w:tcPr>
            <w:tcW w:w="2807" w:type="dxa"/>
          </w:tcPr>
          <w:p w14:paraId="3F7344F6" w14:textId="77777777" w:rsidR="00153B15" w:rsidRDefault="00153B15" w:rsidP="00153B15">
            <w:r>
              <w:t>Een vrijwillige meerjarige maatregel ten behoeve van voornamelijk biodiversiteit. Beheer gebeurt door de Vlaams Landmaatschappij (VLM)</w:t>
            </w:r>
          </w:p>
        </w:tc>
        <w:tc>
          <w:tcPr>
            <w:tcW w:w="2517" w:type="dxa"/>
          </w:tcPr>
          <w:p w14:paraId="44296177" w14:textId="77777777" w:rsidR="00153B15" w:rsidRDefault="00153B15" w:rsidP="00153B15"/>
        </w:tc>
      </w:tr>
      <w:tr w:rsidR="00153B15" w14:paraId="15B062AB" w14:textId="77777777" w:rsidTr="00153B15">
        <w:tc>
          <w:tcPr>
            <w:tcW w:w="1101" w:type="dxa"/>
          </w:tcPr>
          <w:p w14:paraId="744914B3" w14:textId="77777777" w:rsidR="00153B15" w:rsidRPr="00153B15" w:rsidRDefault="00153B15" w:rsidP="00153B15">
            <w:pPr>
              <w:rPr>
                <w:b/>
                <w:bCs/>
              </w:rPr>
            </w:pPr>
            <w:r w:rsidRPr="00153B15">
              <w:rPr>
                <w:b/>
                <w:bCs/>
              </w:rPr>
              <w:t>BVR</w:t>
            </w:r>
          </w:p>
        </w:tc>
        <w:tc>
          <w:tcPr>
            <w:tcW w:w="2863" w:type="dxa"/>
          </w:tcPr>
          <w:p w14:paraId="32AC0147" w14:textId="77777777" w:rsidR="00153B15" w:rsidRDefault="00153B15" w:rsidP="00153B15">
            <w:r>
              <w:t>Besluit Vlaamse Regering</w:t>
            </w:r>
          </w:p>
        </w:tc>
        <w:tc>
          <w:tcPr>
            <w:tcW w:w="2807" w:type="dxa"/>
          </w:tcPr>
          <w:p w14:paraId="0BB9E114" w14:textId="77777777" w:rsidR="00153B15" w:rsidRPr="00BA0A7D" w:rsidRDefault="00153B15" w:rsidP="00153B15">
            <w:r>
              <w:t xml:space="preserve">‘Uitvoeringsbesluit’ van wetten en decreten waarin Vlaamse Regering </w:t>
            </w:r>
            <w:r w:rsidRPr="00A9632A">
              <w:t>voorwaarden nog preciezer</w:t>
            </w:r>
            <w:r>
              <w:t xml:space="preserve"> kan</w:t>
            </w:r>
            <w:r w:rsidRPr="00A9632A">
              <w:t xml:space="preserve"> omschrijven, procedures verfijnen, systemen van evaluatie en controle inbouwen, …</w:t>
            </w:r>
            <w:r>
              <w:t xml:space="preserve"> Onderdelen van het GLB worden vastgelegd in BVR.</w:t>
            </w:r>
          </w:p>
        </w:tc>
        <w:tc>
          <w:tcPr>
            <w:tcW w:w="2517" w:type="dxa"/>
          </w:tcPr>
          <w:p w14:paraId="74FC7F66" w14:textId="77777777" w:rsidR="00153B15" w:rsidRDefault="00153B15" w:rsidP="00153B15"/>
        </w:tc>
      </w:tr>
      <w:tr w:rsidR="00153B15" w14:paraId="2B8C0974" w14:textId="77777777" w:rsidTr="00153B15">
        <w:tc>
          <w:tcPr>
            <w:tcW w:w="1101" w:type="dxa"/>
          </w:tcPr>
          <w:p w14:paraId="2AC60247" w14:textId="77777777" w:rsidR="00153B15" w:rsidRPr="00153B15" w:rsidRDefault="00153B15" w:rsidP="00153B15">
            <w:pPr>
              <w:rPr>
                <w:b/>
                <w:bCs/>
              </w:rPr>
            </w:pPr>
            <w:r w:rsidRPr="00153B15">
              <w:rPr>
                <w:b/>
                <w:bCs/>
              </w:rPr>
              <w:t>EAG</w:t>
            </w:r>
          </w:p>
        </w:tc>
        <w:tc>
          <w:tcPr>
            <w:tcW w:w="2863" w:type="dxa"/>
          </w:tcPr>
          <w:p w14:paraId="09523490" w14:textId="77777777" w:rsidR="00153B15" w:rsidRDefault="00153B15" w:rsidP="00153B15">
            <w:r>
              <w:t>Ecologisch aandachtsgebied</w:t>
            </w:r>
          </w:p>
        </w:tc>
        <w:tc>
          <w:tcPr>
            <w:tcW w:w="2807" w:type="dxa"/>
          </w:tcPr>
          <w:p w14:paraId="31B738D4" w14:textId="77777777" w:rsidR="00153B15" w:rsidRPr="00661F55" w:rsidRDefault="00153B15" w:rsidP="00153B15">
            <w:r>
              <w:t>Ecologisch areaal dat u potentieel moet aanleggen op of langs bouwland onder de vergroeningsvoorwaarden in het oude GLB. Dit wordt de randvoorwaarde ‘niet-productieve elementen’ in het nieuwe GLB vanaf 2023.</w:t>
            </w:r>
          </w:p>
        </w:tc>
        <w:tc>
          <w:tcPr>
            <w:tcW w:w="2517" w:type="dxa"/>
          </w:tcPr>
          <w:p w14:paraId="5D0BDF8D" w14:textId="77777777" w:rsidR="00153B15" w:rsidRDefault="00153B15" w:rsidP="00153B15"/>
        </w:tc>
      </w:tr>
      <w:tr w:rsidR="00153B15" w14:paraId="3821A399" w14:textId="77777777" w:rsidTr="00153B15">
        <w:tc>
          <w:tcPr>
            <w:tcW w:w="1101" w:type="dxa"/>
            <w:tcBorders>
              <w:bottom w:val="single" w:sz="4" w:space="0" w:color="auto"/>
            </w:tcBorders>
          </w:tcPr>
          <w:p w14:paraId="365369D4" w14:textId="77777777" w:rsidR="00153B15" w:rsidRPr="00153B15" w:rsidRDefault="00153B15" w:rsidP="00153B15">
            <w:pPr>
              <w:rPr>
                <w:b/>
                <w:bCs/>
              </w:rPr>
            </w:pPr>
            <w:r w:rsidRPr="00153B15">
              <w:rPr>
                <w:b/>
                <w:bCs/>
              </w:rPr>
              <w:t>EC</w:t>
            </w:r>
          </w:p>
        </w:tc>
        <w:tc>
          <w:tcPr>
            <w:tcW w:w="2863" w:type="dxa"/>
            <w:tcBorders>
              <w:bottom w:val="single" w:sz="4" w:space="0" w:color="auto"/>
            </w:tcBorders>
          </w:tcPr>
          <w:p w14:paraId="390FB6D1" w14:textId="77777777" w:rsidR="00153B15" w:rsidRDefault="00153B15" w:rsidP="00153B15">
            <w:r>
              <w:t>Europese Commissie</w:t>
            </w:r>
          </w:p>
        </w:tc>
        <w:tc>
          <w:tcPr>
            <w:tcW w:w="2807" w:type="dxa"/>
            <w:tcBorders>
              <w:bottom w:val="single" w:sz="4" w:space="0" w:color="auto"/>
            </w:tcBorders>
          </w:tcPr>
          <w:p w14:paraId="2AE550BC" w14:textId="77777777" w:rsidR="00153B15" w:rsidRDefault="00153B15" w:rsidP="00153B15">
            <w:r>
              <w:t xml:space="preserve"> De Europese Commissie doet beleidsvoorstellen en voert het EU-beleid uit. Het werk van de Commissie wordt aangestuurd door een college van commissarissen, onder leiding van de Commissievoorzitter.</w:t>
            </w:r>
          </w:p>
        </w:tc>
        <w:tc>
          <w:tcPr>
            <w:tcW w:w="2517" w:type="dxa"/>
          </w:tcPr>
          <w:p w14:paraId="3A5709D9" w14:textId="77777777" w:rsidR="00153B15" w:rsidRDefault="00153B15" w:rsidP="00153B15">
            <w:r w:rsidRPr="00BA0A7D">
              <w:t>https://commission.europa.eu/about-european-commission_nl</w:t>
            </w:r>
          </w:p>
        </w:tc>
      </w:tr>
      <w:tr w:rsidR="00153B15" w14:paraId="2B348856" w14:textId="77777777" w:rsidTr="00153B15">
        <w:tc>
          <w:tcPr>
            <w:tcW w:w="1101" w:type="dxa"/>
            <w:tcBorders>
              <w:top w:val="single" w:sz="4" w:space="0" w:color="auto"/>
              <w:left w:val="single" w:sz="4" w:space="0" w:color="auto"/>
              <w:bottom w:val="single" w:sz="4" w:space="0" w:color="auto"/>
              <w:right w:val="single" w:sz="4" w:space="0" w:color="auto"/>
            </w:tcBorders>
          </w:tcPr>
          <w:p w14:paraId="7D8DEF48" w14:textId="77777777" w:rsidR="00153B15" w:rsidRPr="00153B15" w:rsidRDefault="00153B15" w:rsidP="00153B15">
            <w:pPr>
              <w:rPr>
                <w:b/>
                <w:bCs/>
              </w:rPr>
            </w:pPr>
            <w:r w:rsidRPr="00153B15">
              <w:rPr>
                <w:b/>
                <w:bCs/>
              </w:rPr>
              <w:t>EKBG</w:t>
            </w:r>
          </w:p>
        </w:tc>
        <w:tc>
          <w:tcPr>
            <w:tcW w:w="2863" w:type="dxa"/>
            <w:tcBorders>
              <w:top w:val="single" w:sz="4" w:space="0" w:color="auto"/>
              <w:left w:val="single" w:sz="4" w:space="0" w:color="auto"/>
              <w:bottom w:val="single" w:sz="4" w:space="0" w:color="auto"/>
              <w:right w:val="single" w:sz="4" w:space="0" w:color="auto"/>
            </w:tcBorders>
          </w:tcPr>
          <w:p w14:paraId="4921A108" w14:textId="77777777" w:rsidR="00153B15" w:rsidRDefault="00153B15" w:rsidP="00153B15">
            <w:r>
              <w:t>Ecologisch kwetsbaar blijvend grasland</w:t>
            </w:r>
          </w:p>
        </w:tc>
        <w:tc>
          <w:tcPr>
            <w:tcW w:w="2807" w:type="dxa"/>
            <w:tcBorders>
              <w:top w:val="single" w:sz="4" w:space="0" w:color="auto"/>
              <w:left w:val="single" w:sz="4" w:space="0" w:color="auto"/>
              <w:bottom w:val="single" w:sz="4" w:space="0" w:color="auto"/>
            </w:tcBorders>
          </w:tcPr>
          <w:p w14:paraId="2A2B7DC2" w14:textId="77777777" w:rsidR="00153B15" w:rsidRPr="007E17D3" w:rsidRDefault="00153B15" w:rsidP="00153B15">
            <w:r>
              <w:t>Er zijn twee soorten EKBG - EKBG</w:t>
            </w:r>
            <w:r w:rsidRPr="00661F55">
              <w:t xml:space="preserve"> dat enkel beschermd </w:t>
            </w:r>
            <w:r w:rsidRPr="00661F55">
              <w:lastRenderedPageBreak/>
              <w:t xml:space="preserve">is door landbouwwetgeving en EKBG dat ook beschermd is door </w:t>
            </w:r>
            <w:r>
              <w:t xml:space="preserve">de </w:t>
            </w:r>
            <w:r w:rsidRPr="00661F55">
              <w:t>natuurwetgeving</w:t>
            </w:r>
            <w:r>
              <w:t>. Beiden zijn beschermd in het GLB, maar onder verschillende voorwaarden.</w:t>
            </w:r>
          </w:p>
        </w:tc>
        <w:tc>
          <w:tcPr>
            <w:tcW w:w="2517" w:type="dxa"/>
          </w:tcPr>
          <w:p w14:paraId="61844AC0" w14:textId="77777777" w:rsidR="00153B15" w:rsidRDefault="00153B15" w:rsidP="00153B15"/>
        </w:tc>
      </w:tr>
      <w:tr w:rsidR="00153B15" w14:paraId="4BBE171E" w14:textId="77777777" w:rsidTr="00153B15">
        <w:tc>
          <w:tcPr>
            <w:tcW w:w="1101" w:type="dxa"/>
            <w:tcBorders>
              <w:top w:val="single" w:sz="4" w:space="0" w:color="auto"/>
            </w:tcBorders>
          </w:tcPr>
          <w:p w14:paraId="195F03E4" w14:textId="77777777" w:rsidR="00153B15" w:rsidRPr="00153B15" w:rsidRDefault="00153B15" w:rsidP="00153B15">
            <w:pPr>
              <w:rPr>
                <w:b/>
                <w:bCs/>
              </w:rPr>
            </w:pPr>
            <w:r w:rsidRPr="00153B15">
              <w:rPr>
                <w:b/>
                <w:bCs/>
              </w:rPr>
              <w:t>EP</w:t>
            </w:r>
          </w:p>
        </w:tc>
        <w:tc>
          <w:tcPr>
            <w:tcW w:w="2863" w:type="dxa"/>
            <w:tcBorders>
              <w:top w:val="single" w:sz="4" w:space="0" w:color="auto"/>
            </w:tcBorders>
          </w:tcPr>
          <w:p w14:paraId="6D250197" w14:textId="77777777" w:rsidR="00153B15" w:rsidRDefault="00153B15" w:rsidP="00153B15">
            <w:r>
              <w:t>Europees parlement</w:t>
            </w:r>
          </w:p>
        </w:tc>
        <w:tc>
          <w:tcPr>
            <w:tcW w:w="2807" w:type="dxa"/>
            <w:tcBorders>
              <w:top w:val="single" w:sz="4" w:space="0" w:color="auto"/>
            </w:tcBorders>
          </w:tcPr>
          <w:p w14:paraId="3FBAEDCC" w14:textId="77777777" w:rsidR="00153B15" w:rsidRDefault="00153B15" w:rsidP="00153B15">
            <w:r w:rsidRPr="00477D13">
              <w:t>Het Europees Parlement of kortweg EP is de rechtstreeks verkozen volksvertegenwoordiging van de Europese Unie. Het is de enige instelling van de Europese Unie die direct door de burgers wordt gekozen. Samen met de Raad van de Europese Unie en de Europese Commissie heeft het een wetgevende taak binnen de Europese Unie.</w:t>
            </w:r>
          </w:p>
        </w:tc>
        <w:tc>
          <w:tcPr>
            <w:tcW w:w="2517" w:type="dxa"/>
          </w:tcPr>
          <w:p w14:paraId="01419357" w14:textId="77777777" w:rsidR="00153B15" w:rsidRDefault="00153B15" w:rsidP="00153B15"/>
        </w:tc>
      </w:tr>
      <w:tr w:rsidR="00153B15" w14:paraId="05A980A9" w14:textId="77777777" w:rsidTr="00153B15">
        <w:tc>
          <w:tcPr>
            <w:tcW w:w="1101" w:type="dxa"/>
          </w:tcPr>
          <w:p w14:paraId="5689C1AD" w14:textId="77777777" w:rsidR="00153B15" w:rsidRPr="00153B15" w:rsidRDefault="00153B15" w:rsidP="00153B15">
            <w:pPr>
              <w:rPr>
                <w:b/>
                <w:bCs/>
              </w:rPr>
            </w:pPr>
            <w:r w:rsidRPr="00153B15">
              <w:rPr>
                <w:b/>
                <w:bCs/>
              </w:rPr>
              <w:t>ER</w:t>
            </w:r>
          </w:p>
        </w:tc>
        <w:tc>
          <w:tcPr>
            <w:tcW w:w="2863" w:type="dxa"/>
          </w:tcPr>
          <w:p w14:paraId="7DD7DEBD" w14:textId="77777777" w:rsidR="00153B15" w:rsidRDefault="00153B15" w:rsidP="00153B15">
            <w:r>
              <w:t>Ecoregeling</w:t>
            </w:r>
          </w:p>
        </w:tc>
        <w:tc>
          <w:tcPr>
            <w:tcW w:w="2807" w:type="dxa"/>
          </w:tcPr>
          <w:p w14:paraId="5D88F125" w14:textId="77777777" w:rsidR="00153B15" w:rsidRDefault="00153B15" w:rsidP="00153B15">
            <w:r>
              <w:t>Een vrijwillige eenjarige maatregel ten behoeve van milieu, biodiversiteit, klimaat. Beheerd door het departement landbouw en visserij</w:t>
            </w:r>
          </w:p>
        </w:tc>
        <w:tc>
          <w:tcPr>
            <w:tcW w:w="2517" w:type="dxa"/>
          </w:tcPr>
          <w:p w14:paraId="6997F546" w14:textId="77777777" w:rsidR="00153B15" w:rsidRDefault="00153B15" w:rsidP="00153B15"/>
        </w:tc>
      </w:tr>
      <w:tr w:rsidR="00153B15" w14:paraId="6B2A3774" w14:textId="77777777" w:rsidTr="00153B15">
        <w:tc>
          <w:tcPr>
            <w:tcW w:w="1101" w:type="dxa"/>
          </w:tcPr>
          <w:p w14:paraId="52B97B08" w14:textId="77777777" w:rsidR="00153B15" w:rsidRPr="00153B15" w:rsidRDefault="00153B15" w:rsidP="00153B15">
            <w:pPr>
              <w:rPr>
                <w:b/>
                <w:bCs/>
              </w:rPr>
            </w:pPr>
            <w:r w:rsidRPr="00153B15">
              <w:rPr>
                <w:b/>
                <w:bCs/>
              </w:rPr>
              <w:t>F2F</w:t>
            </w:r>
          </w:p>
        </w:tc>
        <w:tc>
          <w:tcPr>
            <w:tcW w:w="2863" w:type="dxa"/>
          </w:tcPr>
          <w:p w14:paraId="30B1BF1E" w14:textId="77777777" w:rsidR="00153B15" w:rsidRDefault="00153B15" w:rsidP="00153B15">
            <w:r>
              <w:t xml:space="preserve">Farm </w:t>
            </w:r>
            <w:proofErr w:type="spellStart"/>
            <w:r>
              <w:t>to</w:t>
            </w:r>
            <w:proofErr w:type="spellEnd"/>
            <w:r>
              <w:t xml:space="preserve"> </w:t>
            </w:r>
            <w:proofErr w:type="spellStart"/>
            <w:r>
              <w:t>Fork</w:t>
            </w:r>
            <w:proofErr w:type="spellEnd"/>
            <w:r>
              <w:t xml:space="preserve"> strategie</w:t>
            </w:r>
          </w:p>
        </w:tc>
        <w:tc>
          <w:tcPr>
            <w:tcW w:w="2807" w:type="dxa"/>
          </w:tcPr>
          <w:p w14:paraId="2DFDBA3E" w14:textId="77777777" w:rsidR="00153B15" w:rsidRDefault="00153B15" w:rsidP="00153B15">
            <w:r>
              <w:t>De voedselstrategie – van boer tot bord -  die in mei 2020 werd gelanceerd en die door de Europese Commissie gehanteerd wordt in het voorstellen en beoordelen van wetgevende initiatieven die met landbouw en voeding te maken hebben.</w:t>
            </w:r>
          </w:p>
        </w:tc>
        <w:tc>
          <w:tcPr>
            <w:tcW w:w="2517" w:type="dxa"/>
          </w:tcPr>
          <w:p w14:paraId="79DE95EA" w14:textId="77777777" w:rsidR="00153B15" w:rsidRDefault="00153B15" w:rsidP="00153B15"/>
        </w:tc>
      </w:tr>
      <w:tr w:rsidR="00153B15" w14:paraId="3CE38C05" w14:textId="77777777" w:rsidTr="00153B15">
        <w:tc>
          <w:tcPr>
            <w:tcW w:w="1101" w:type="dxa"/>
          </w:tcPr>
          <w:p w14:paraId="4D9E4A50" w14:textId="77777777" w:rsidR="00153B15" w:rsidRPr="00153B15" w:rsidRDefault="00153B15" w:rsidP="00153B15">
            <w:pPr>
              <w:rPr>
                <w:b/>
                <w:bCs/>
              </w:rPr>
            </w:pPr>
            <w:r w:rsidRPr="00153B15">
              <w:rPr>
                <w:b/>
                <w:bCs/>
              </w:rPr>
              <w:t>GLB</w:t>
            </w:r>
          </w:p>
        </w:tc>
        <w:tc>
          <w:tcPr>
            <w:tcW w:w="2863" w:type="dxa"/>
          </w:tcPr>
          <w:p w14:paraId="4C95AB90" w14:textId="77777777" w:rsidR="00153B15" w:rsidRDefault="00153B15" w:rsidP="00153B15">
            <w:r>
              <w:t>Gemeenschappelijk Landbouwbeleid</w:t>
            </w:r>
          </w:p>
        </w:tc>
        <w:tc>
          <w:tcPr>
            <w:tcW w:w="2807" w:type="dxa"/>
          </w:tcPr>
          <w:p w14:paraId="24E39E9D" w14:textId="77777777" w:rsidR="00153B15" w:rsidRDefault="00153B15" w:rsidP="00153B15">
            <w:r>
              <w:t>De Europese verordening die het landbouwbeleid in de lidstaten van de Europese Unie vastlegt.</w:t>
            </w:r>
          </w:p>
        </w:tc>
        <w:tc>
          <w:tcPr>
            <w:tcW w:w="2517" w:type="dxa"/>
          </w:tcPr>
          <w:p w14:paraId="4B48A4B5" w14:textId="77777777" w:rsidR="00153B15" w:rsidRDefault="00153B15" w:rsidP="00153B15"/>
        </w:tc>
      </w:tr>
      <w:tr w:rsidR="00153B15" w14:paraId="3EA769CD" w14:textId="77777777" w:rsidTr="00153B15">
        <w:tc>
          <w:tcPr>
            <w:tcW w:w="1101" w:type="dxa"/>
          </w:tcPr>
          <w:p w14:paraId="007F749C" w14:textId="77777777" w:rsidR="00153B15" w:rsidRPr="00153B15" w:rsidRDefault="00153B15" w:rsidP="00153B15">
            <w:pPr>
              <w:rPr>
                <w:b/>
                <w:bCs/>
              </w:rPr>
            </w:pPr>
            <w:r w:rsidRPr="00153B15">
              <w:rPr>
                <w:b/>
                <w:bCs/>
              </w:rPr>
              <w:t>GLMC</w:t>
            </w:r>
          </w:p>
        </w:tc>
        <w:tc>
          <w:tcPr>
            <w:tcW w:w="2863" w:type="dxa"/>
          </w:tcPr>
          <w:p w14:paraId="34A94184" w14:textId="77777777" w:rsidR="00153B15" w:rsidRDefault="00153B15" w:rsidP="00153B15">
            <w:r>
              <w:t>Goede Landbouw- en Milieuconditie</w:t>
            </w:r>
          </w:p>
        </w:tc>
        <w:tc>
          <w:tcPr>
            <w:tcW w:w="2807" w:type="dxa"/>
          </w:tcPr>
          <w:p w14:paraId="5C432B50" w14:textId="77777777" w:rsidR="00153B15" w:rsidRDefault="00153B15" w:rsidP="00153B15">
            <w:r>
              <w:t>Een onderdeel van de randvoorwaarden in het GLB (= conditionaliteit), waarin beschreven staat aan welke Europese verplichtingen een landbouwer moet voldoen.</w:t>
            </w:r>
          </w:p>
        </w:tc>
        <w:tc>
          <w:tcPr>
            <w:tcW w:w="2517" w:type="dxa"/>
          </w:tcPr>
          <w:p w14:paraId="17E1708C" w14:textId="77777777" w:rsidR="00153B15" w:rsidRDefault="00153B15" w:rsidP="00153B15"/>
        </w:tc>
      </w:tr>
      <w:tr w:rsidR="00153B15" w14:paraId="01276F50" w14:textId="77777777" w:rsidTr="00153B15">
        <w:tc>
          <w:tcPr>
            <w:tcW w:w="1101" w:type="dxa"/>
          </w:tcPr>
          <w:p w14:paraId="3792A721" w14:textId="77777777" w:rsidR="00153B15" w:rsidRPr="00153B15" w:rsidRDefault="00153B15" w:rsidP="00153B15">
            <w:pPr>
              <w:rPr>
                <w:b/>
                <w:bCs/>
              </w:rPr>
            </w:pPr>
            <w:r w:rsidRPr="00153B15">
              <w:rPr>
                <w:b/>
                <w:bCs/>
              </w:rPr>
              <w:t>GMO</w:t>
            </w:r>
          </w:p>
        </w:tc>
        <w:tc>
          <w:tcPr>
            <w:tcW w:w="2863" w:type="dxa"/>
          </w:tcPr>
          <w:p w14:paraId="102265AC" w14:textId="77777777" w:rsidR="00153B15" w:rsidRDefault="00153B15" w:rsidP="00153B15">
            <w:r>
              <w:t>Gemeenschappelijke Marktordening</w:t>
            </w:r>
          </w:p>
        </w:tc>
        <w:tc>
          <w:tcPr>
            <w:tcW w:w="2807" w:type="dxa"/>
          </w:tcPr>
          <w:p w14:paraId="12A3324E" w14:textId="77777777" w:rsidR="00153B15" w:rsidRDefault="00153B15" w:rsidP="00153B15">
            <w:r w:rsidRPr="00C06F91">
              <w:t xml:space="preserve">De GMO omvat een interne component (marktinterventies, voorschriften betreffende de afzet en de </w:t>
            </w:r>
            <w:r w:rsidRPr="00C06F91">
              <w:lastRenderedPageBreak/>
              <w:t>producentenorganisaties) en een externe component betreffende de handel met derde landen (in- en uitvoercertificatie, invoerheffingen, beheer van tariefcontingenten, uitvoerrestituties enz.). Ook wordt in de GMO ingegaan op de mededingingsregels die van toepassing zijn op ondernemingen en op overheidssteun. De GMO omvat ook algemene bepalingen voor uitzonderlijke maatregelen (met name voor het voorkomen van marktverstoringen door prijsschommelingen of andere gebeurtenissen, ondersteuning in geval van dierziekten of het verlies van consumentenvertrouwen als gevolg van risico’s voor de volksgezondheid en de gezondheid van dieren of planten, alsmede maatregelen inzake onderling afgestemde gedragingen tijdens perioden van ernstige verstoring van het marktevenwicht) en een nieuwe reserve om eventuele crises in de landbouwsector het hoofd te kunnen bieden.</w:t>
            </w:r>
          </w:p>
        </w:tc>
        <w:tc>
          <w:tcPr>
            <w:tcW w:w="2517" w:type="dxa"/>
          </w:tcPr>
          <w:p w14:paraId="19CDA45E" w14:textId="77777777" w:rsidR="00153B15" w:rsidRDefault="00153B15" w:rsidP="00153B15">
            <w:r w:rsidRPr="00170313">
              <w:lastRenderedPageBreak/>
              <w:t>https://www.europarl.europa.eu/factsheets/nl/sheet/108/de-eerste-pijler-van-het-glb-i-gemeenschappelijke-</w:t>
            </w:r>
            <w:r w:rsidRPr="00170313">
              <w:lastRenderedPageBreak/>
              <w:t>marktordening-gmo-voor-landbou</w:t>
            </w:r>
          </w:p>
        </w:tc>
      </w:tr>
      <w:tr w:rsidR="00153B15" w14:paraId="40ACF931" w14:textId="77777777" w:rsidTr="00153B15">
        <w:tc>
          <w:tcPr>
            <w:tcW w:w="1101" w:type="dxa"/>
          </w:tcPr>
          <w:p w14:paraId="60E5F646" w14:textId="77777777" w:rsidR="00153B15" w:rsidRPr="00153B15" w:rsidRDefault="00153B15" w:rsidP="00153B15">
            <w:pPr>
              <w:rPr>
                <w:b/>
                <w:bCs/>
              </w:rPr>
            </w:pPr>
            <w:r w:rsidRPr="00153B15">
              <w:rPr>
                <w:b/>
                <w:bCs/>
              </w:rPr>
              <w:lastRenderedPageBreak/>
              <w:t>GRB</w:t>
            </w:r>
          </w:p>
        </w:tc>
        <w:tc>
          <w:tcPr>
            <w:tcW w:w="2863" w:type="dxa"/>
          </w:tcPr>
          <w:p w14:paraId="7125CDB2" w14:textId="77777777" w:rsidR="00153B15" w:rsidRDefault="00153B15" w:rsidP="00153B15">
            <w:r>
              <w:t>Grootschalig Referentiebestand</w:t>
            </w:r>
          </w:p>
        </w:tc>
        <w:tc>
          <w:tcPr>
            <w:tcW w:w="2807" w:type="dxa"/>
          </w:tcPr>
          <w:p w14:paraId="52510B0B" w14:textId="77777777" w:rsidR="00153B15" w:rsidRDefault="00153B15" w:rsidP="00153B15">
            <w:r>
              <w:t>G</w:t>
            </w:r>
            <w:r w:rsidRPr="00A3766B">
              <w:t>eografisch informatiesysteem dat dient als topografische referentie voor Vlaanderen</w:t>
            </w:r>
            <w:r>
              <w:t>. Ook wel basiskaart Vlaanderen genoemd. Hierop zijn bijvoorbeeld de waterlichamen raadpleegbaar</w:t>
            </w:r>
          </w:p>
        </w:tc>
        <w:tc>
          <w:tcPr>
            <w:tcW w:w="2517" w:type="dxa"/>
          </w:tcPr>
          <w:p w14:paraId="0A2175B3" w14:textId="77777777" w:rsidR="00153B15" w:rsidRDefault="00153B15" w:rsidP="00153B15"/>
        </w:tc>
      </w:tr>
      <w:tr w:rsidR="00153B15" w14:paraId="2570B84D" w14:textId="77777777" w:rsidTr="00153B15">
        <w:tc>
          <w:tcPr>
            <w:tcW w:w="1101" w:type="dxa"/>
          </w:tcPr>
          <w:p w14:paraId="46E0AA3C" w14:textId="77777777" w:rsidR="00153B15" w:rsidRPr="00153B15" w:rsidRDefault="00153B15" w:rsidP="00153B15">
            <w:pPr>
              <w:rPr>
                <w:b/>
                <w:bCs/>
              </w:rPr>
            </w:pPr>
            <w:r w:rsidRPr="00153B15">
              <w:rPr>
                <w:b/>
                <w:bCs/>
              </w:rPr>
              <w:t>KLE</w:t>
            </w:r>
          </w:p>
        </w:tc>
        <w:tc>
          <w:tcPr>
            <w:tcW w:w="2863" w:type="dxa"/>
          </w:tcPr>
          <w:p w14:paraId="33EFAD0B" w14:textId="77777777" w:rsidR="00153B15" w:rsidRDefault="00153B15" w:rsidP="00153B15">
            <w:r>
              <w:t>Kleine Landschapselementen</w:t>
            </w:r>
          </w:p>
        </w:tc>
        <w:tc>
          <w:tcPr>
            <w:tcW w:w="2807" w:type="dxa"/>
          </w:tcPr>
          <w:p w14:paraId="0CCE5265" w14:textId="77777777" w:rsidR="00153B15" w:rsidRDefault="00153B15" w:rsidP="00153B15"/>
        </w:tc>
        <w:tc>
          <w:tcPr>
            <w:tcW w:w="2517" w:type="dxa"/>
          </w:tcPr>
          <w:p w14:paraId="623BA689" w14:textId="77777777" w:rsidR="00153B15" w:rsidRDefault="00153B15" w:rsidP="00153B15"/>
        </w:tc>
      </w:tr>
      <w:tr w:rsidR="00153B15" w14:paraId="09673BEF" w14:textId="77777777" w:rsidTr="00153B15">
        <w:tc>
          <w:tcPr>
            <w:tcW w:w="1101" w:type="dxa"/>
            <w:tcBorders>
              <w:bottom w:val="single" w:sz="4" w:space="0" w:color="auto"/>
            </w:tcBorders>
          </w:tcPr>
          <w:p w14:paraId="705B3657" w14:textId="77777777" w:rsidR="00153B15" w:rsidRPr="00153B15" w:rsidRDefault="00153B15" w:rsidP="00153B15">
            <w:pPr>
              <w:rPr>
                <w:b/>
                <w:bCs/>
              </w:rPr>
            </w:pPr>
            <w:r w:rsidRPr="00153B15">
              <w:rPr>
                <w:b/>
                <w:bCs/>
              </w:rPr>
              <w:t>KRW</w:t>
            </w:r>
          </w:p>
        </w:tc>
        <w:tc>
          <w:tcPr>
            <w:tcW w:w="2863" w:type="dxa"/>
            <w:tcBorders>
              <w:bottom w:val="single" w:sz="4" w:space="0" w:color="auto"/>
            </w:tcBorders>
          </w:tcPr>
          <w:p w14:paraId="764095AC" w14:textId="77777777" w:rsidR="00153B15" w:rsidRDefault="00153B15" w:rsidP="00153B15">
            <w:r>
              <w:t>Kaderrichtlijn Water</w:t>
            </w:r>
          </w:p>
        </w:tc>
        <w:tc>
          <w:tcPr>
            <w:tcW w:w="2807" w:type="dxa"/>
            <w:tcBorders>
              <w:bottom w:val="single" w:sz="4" w:space="0" w:color="auto"/>
            </w:tcBorders>
          </w:tcPr>
          <w:p w14:paraId="26BAE13F" w14:textId="77777777" w:rsidR="00153B15" w:rsidRDefault="00153B15" w:rsidP="00153B15">
            <w:r>
              <w:t xml:space="preserve">Het doel van de kaderrichtlijn Water is de watervoorraden en de </w:t>
            </w:r>
            <w:r>
              <w:lastRenderedPageBreak/>
              <w:t>waterkwaliteit in Europa veilig stellen en de gevolgen van overstromingen en perioden van droogte afzwakken. De kaderrichtlijn Water verplicht de lidstaten duurzaam met water om te springen. Hiervoor moeten ze beheerplannen opstellen per stroomgebied.</w:t>
            </w:r>
          </w:p>
          <w:p w14:paraId="6A5FE7CE" w14:textId="77777777" w:rsidR="00153B15" w:rsidRDefault="00153B15" w:rsidP="00153B15"/>
          <w:p w14:paraId="7C4CB355" w14:textId="77777777" w:rsidR="00153B15" w:rsidRDefault="00153B15" w:rsidP="00153B15">
            <w:r>
              <w:t>Het decreet Integraal Waterbeleid van 18 juli 2003, gecoördineerd op 15 juni 2018, zet de kaderrichtlijn Water om naar Vlaamse wetgeving.</w:t>
            </w:r>
          </w:p>
        </w:tc>
        <w:tc>
          <w:tcPr>
            <w:tcW w:w="2517" w:type="dxa"/>
          </w:tcPr>
          <w:p w14:paraId="2588BA7E" w14:textId="77777777" w:rsidR="00153B15" w:rsidRDefault="00153B15" w:rsidP="00153B15"/>
        </w:tc>
      </w:tr>
      <w:tr w:rsidR="00153B15" w14:paraId="4E6E6D6F" w14:textId="77777777" w:rsidTr="00153B15">
        <w:tc>
          <w:tcPr>
            <w:tcW w:w="1101" w:type="dxa"/>
            <w:tcBorders>
              <w:top w:val="single" w:sz="4" w:space="0" w:color="auto"/>
              <w:left w:val="single" w:sz="4" w:space="0" w:color="auto"/>
              <w:bottom w:val="single" w:sz="4" w:space="0" w:color="auto"/>
              <w:right w:val="single" w:sz="4" w:space="0" w:color="auto"/>
            </w:tcBorders>
          </w:tcPr>
          <w:p w14:paraId="5872F03A" w14:textId="77777777" w:rsidR="00153B15" w:rsidRPr="00153B15" w:rsidRDefault="00153B15" w:rsidP="00153B15">
            <w:pPr>
              <w:rPr>
                <w:b/>
                <w:bCs/>
              </w:rPr>
            </w:pPr>
            <w:r w:rsidRPr="00153B15">
              <w:rPr>
                <w:b/>
                <w:bCs/>
              </w:rPr>
              <w:t>MAP</w:t>
            </w:r>
          </w:p>
        </w:tc>
        <w:tc>
          <w:tcPr>
            <w:tcW w:w="2863" w:type="dxa"/>
            <w:tcBorders>
              <w:top w:val="single" w:sz="4" w:space="0" w:color="auto"/>
              <w:left w:val="single" w:sz="4" w:space="0" w:color="auto"/>
              <w:bottom w:val="single" w:sz="4" w:space="0" w:color="auto"/>
              <w:right w:val="single" w:sz="4" w:space="0" w:color="auto"/>
            </w:tcBorders>
          </w:tcPr>
          <w:p w14:paraId="4C76C7F2" w14:textId="77777777" w:rsidR="00153B15" w:rsidRDefault="00153B15" w:rsidP="00153B15">
            <w:r>
              <w:t>Mestactieplan</w:t>
            </w:r>
          </w:p>
        </w:tc>
        <w:tc>
          <w:tcPr>
            <w:tcW w:w="2807" w:type="dxa"/>
            <w:tcBorders>
              <w:top w:val="single" w:sz="4" w:space="0" w:color="auto"/>
              <w:left w:val="single" w:sz="4" w:space="0" w:color="auto"/>
              <w:bottom w:val="single" w:sz="4" w:space="0" w:color="auto"/>
            </w:tcBorders>
          </w:tcPr>
          <w:p w14:paraId="03E177D1" w14:textId="77777777" w:rsidR="00153B15" w:rsidRDefault="00153B15" w:rsidP="00153B15">
            <w:r w:rsidRPr="006C5BC2">
              <w:t>Om waterverontreiniging door nitraten uit agrarische bronnen te beperken, werd de Nitraatrichtlijn uitgevaardigd. Deze Europese richtlijn werd in Vlaanderen omgezet in het Mestactieplan.</w:t>
            </w:r>
          </w:p>
        </w:tc>
        <w:tc>
          <w:tcPr>
            <w:tcW w:w="2517" w:type="dxa"/>
          </w:tcPr>
          <w:p w14:paraId="7BBE4BCA" w14:textId="77777777" w:rsidR="00153B15" w:rsidRDefault="00153B15" w:rsidP="00153B15"/>
        </w:tc>
      </w:tr>
      <w:tr w:rsidR="00153B15" w14:paraId="5D5E9C4D" w14:textId="77777777" w:rsidTr="00153B15">
        <w:tc>
          <w:tcPr>
            <w:tcW w:w="1101" w:type="dxa"/>
            <w:tcBorders>
              <w:top w:val="single" w:sz="4" w:space="0" w:color="auto"/>
            </w:tcBorders>
          </w:tcPr>
          <w:p w14:paraId="7D690846" w14:textId="77777777" w:rsidR="00153B15" w:rsidRPr="00153B15" w:rsidRDefault="00153B15" w:rsidP="00153B15">
            <w:pPr>
              <w:rPr>
                <w:b/>
                <w:bCs/>
              </w:rPr>
            </w:pPr>
            <w:r w:rsidRPr="00153B15">
              <w:rPr>
                <w:b/>
                <w:bCs/>
              </w:rPr>
              <w:t>MB</w:t>
            </w:r>
          </w:p>
        </w:tc>
        <w:tc>
          <w:tcPr>
            <w:tcW w:w="2863" w:type="dxa"/>
            <w:tcBorders>
              <w:top w:val="single" w:sz="4" w:space="0" w:color="auto"/>
            </w:tcBorders>
          </w:tcPr>
          <w:p w14:paraId="416F542D" w14:textId="77777777" w:rsidR="00153B15" w:rsidRDefault="00153B15" w:rsidP="00153B15">
            <w:r>
              <w:t>Ministerieel Besluit</w:t>
            </w:r>
          </w:p>
        </w:tc>
        <w:tc>
          <w:tcPr>
            <w:tcW w:w="2807" w:type="dxa"/>
            <w:tcBorders>
              <w:top w:val="single" w:sz="4" w:space="0" w:color="auto"/>
            </w:tcBorders>
          </w:tcPr>
          <w:p w14:paraId="66FD07CE" w14:textId="77777777" w:rsidR="00153B15" w:rsidRDefault="00153B15" w:rsidP="00153B15">
            <w:r>
              <w:t>Een besluit dat gedelegeerd is aan de bevoegde minister.</w:t>
            </w:r>
          </w:p>
        </w:tc>
        <w:tc>
          <w:tcPr>
            <w:tcW w:w="2517" w:type="dxa"/>
          </w:tcPr>
          <w:p w14:paraId="1421524A" w14:textId="77777777" w:rsidR="00153B15" w:rsidRDefault="00153B15" w:rsidP="00153B15"/>
        </w:tc>
      </w:tr>
      <w:tr w:rsidR="00153B15" w14:paraId="6FBE9242" w14:textId="77777777" w:rsidTr="00153B15">
        <w:tc>
          <w:tcPr>
            <w:tcW w:w="1101" w:type="dxa"/>
          </w:tcPr>
          <w:p w14:paraId="119F1163" w14:textId="77777777" w:rsidR="00153B15" w:rsidRPr="00153B15" w:rsidRDefault="00153B15" w:rsidP="00153B15">
            <w:pPr>
              <w:rPr>
                <w:b/>
                <w:bCs/>
              </w:rPr>
            </w:pPr>
            <w:r w:rsidRPr="00153B15">
              <w:rPr>
                <w:b/>
                <w:bCs/>
              </w:rPr>
              <w:t>N2000</w:t>
            </w:r>
          </w:p>
        </w:tc>
        <w:tc>
          <w:tcPr>
            <w:tcW w:w="2863" w:type="dxa"/>
          </w:tcPr>
          <w:p w14:paraId="1E6ACD85" w14:textId="77777777" w:rsidR="00153B15" w:rsidRDefault="00153B15" w:rsidP="00153B15">
            <w:r>
              <w:t>Natura 2000</w:t>
            </w:r>
          </w:p>
        </w:tc>
        <w:tc>
          <w:tcPr>
            <w:tcW w:w="2807" w:type="dxa"/>
          </w:tcPr>
          <w:p w14:paraId="025B36E5" w14:textId="77777777" w:rsidR="00153B15" w:rsidRDefault="00153B15" w:rsidP="00153B15"/>
        </w:tc>
        <w:tc>
          <w:tcPr>
            <w:tcW w:w="2517" w:type="dxa"/>
          </w:tcPr>
          <w:p w14:paraId="00559EED" w14:textId="77777777" w:rsidR="00153B15" w:rsidRDefault="00153B15" w:rsidP="00153B15"/>
        </w:tc>
      </w:tr>
      <w:tr w:rsidR="00153B15" w14:paraId="0548EFC9" w14:textId="77777777" w:rsidTr="00153B15">
        <w:tc>
          <w:tcPr>
            <w:tcW w:w="1101" w:type="dxa"/>
          </w:tcPr>
          <w:p w14:paraId="7CFDEC99" w14:textId="77777777" w:rsidR="00153B15" w:rsidRPr="00153B15" w:rsidRDefault="00153B15" w:rsidP="00153B15">
            <w:pPr>
              <w:rPr>
                <w:b/>
                <w:bCs/>
              </w:rPr>
            </w:pPr>
            <w:r w:rsidRPr="00153B15">
              <w:rPr>
                <w:b/>
                <w:bCs/>
              </w:rPr>
              <w:t>NACEBEL</w:t>
            </w:r>
          </w:p>
        </w:tc>
        <w:tc>
          <w:tcPr>
            <w:tcW w:w="2863" w:type="dxa"/>
          </w:tcPr>
          <w:p w14:paraId="346A988D" w14:textId="77777777" w:rsidR="00153B15" w:rsidRDefault="00153B15" w:rsidP="00153B15">
            <w:r>
              <w:t>Algemen</w:t>
            </w:r>
            <w:r w:rsidRPr="008203A3">
              <w:t>e nomenclatuur van economische activiteiten</w:t>
            </w:r>
          </w:p>
        </w:tc>
        <w:tc>
          <w:tcPr>
            <w:tcW w:w="2807" w:type="dxa"/>
          </w:tcPr>
          <w:p w14:paraId="786B3382" w14:textId="77777777" w:rsidR="00153B15" w:rsidRDefault="00153B15" w:rsidP="00153B15">
            <w:r w:rsidRPr="008203A3">
              <w:t xml:space="preserve">De NACE-code is een code die door de Europese Unie en haar lidstaten toegekend wordt aan een bepaalde klasse van commerciële of niet-commerciële economische activiteiten. NACE is dus een officiële Europese lijst van </w:t>
            </w:r>
            <w:proofErr w:type="spellStart"/>
            <w:r w:rsidRPr="008203A3">
              <w:t>activiteitsomschrijvingen</w:t>
            </w:r>
            <w:proofErr w:type="spellEnd"/>
            <w:r w:rsidRPr="008203A3">
              <w:t xml:space="preserve">. De RSZ, de </w:t>
            </w:r>
            <w:proofErr w:type="spellStart"/>
            <w:r w:rsidRPr="008203A3">
              <w:t>BTW-administratie</w:t>
            </w:r>
            <w:proofErr w:type="spellEnd"/>
            <w:r w:rsidRPr="008203A3">
              <w:t xml:space="preserve"> en de ondernemingsloketten gebruiken die om bedrijven in te delen in sectoren. Elk land mag de lijst verder uitdiepen met extra codes, zolang de basislijst onveranderd blijft. Daarom spreken we in België ook van NACEBEL-codes.</w:t>
            </w:r>
          </w:p>
        </w:tc>
        <w:tc>
          <w:tcPr>
            <w:tcW w:w="2517" w:type="dxa"/>
          </w:tcPr>
          <w:p w14:paraId="43A3FDB5" w14:textId="77777777" w:rsidR="00153B15" w:rsidRDefault="00153B15" w:rsidP="00153B15">
            <w:r w:rsidRPr="00B17BE3">
              <w:t>https://www.vlaanderen.be/economie-en-ondernemen/een-eigen-zaak-starten/nace-code</w:t>
            </w:r>
          </w:p>
        </w:tc>
      </w:tr>
      <w:tr w:rsidR="00153B15" w14:paraId="5F48C446" w14:textId="77777777" w:rsidTr="00153B15">
        <w:tc>
          <w:tcPr>
            <w:tcW w:w="1101" w:type="dxa"/>
          </w:tcPr>
          <w:p w14:paraId="5A239C21" w14:textId="77777777" w:rsidR="00153B15" w:rsidRPr="00153B15" w:rsidRDefault="00153B15" w:rsidP="00153B15">
            <w:pPr>
              <w:rPr>
                <w:b/>
                <w:bCs/>
              </w:rPr>
            </w:pPr>
            <w:r w:rsidRPr="00153B15">
              <w:rPr>
                <w:b/>
                <w:bCs/>
              </w:rPr>
              <w:t>NPE</w:t>
            </w:r>
          </w:p>
        </w:tc>
        <w:tc>
          <w:tcPr>
            <w:tcW w:w="2863" w:type="dxa"/>
          </w:tcPr>
          <w:p w14:paraId="23297AFA" w14:textId="77777777" w:rsidR="00153B15" w:rsidRDefault="00153B15" w:rsidP="00153B15">
            <w:r>
              <w:t>Niet productieve elementen (en arealen)</w:t>
            </w:r>
          </w:p>
        </w:tc>
        <w:tc>
          <w:tcPr>
            <w:tcW w:w="2807" w:type="dxa"/>
          </w:tcPr>
          <w:p w14:paraId="095F8C42" w14:textId="77777777" w:rsidR="00153B15" w:rsidRDefault="00153B15" w:rsidP="00153B15">
            <w:r>
              <w:t xml:space="preserve">Eén van de voorwaarden onder de randvoorwaarden is dat een minimumaandeel </w:t>
            </w:r>
            <w:r>
              <w:lastRenderedPageBreak/>
              <w:t>van het bouwland bestemd is voor niet-productieve arealen of elementen. (GLMC 8a)</w:t>
            </w:r>
          </w:p>
          <w:p w14:paraId="319485BC" w14:textId="77777777" w:rsidR="00153B15" w:rsidRPr="00661F55" w:rsidRDefault="00153B15" w:rsidP="00153B15"/>
        </w:tc>
        <w:tc>
          <w:tcPr>
            <w:tcW w:w="2517" w:type="dxa"/>
          </w:tcPr>
          <w:p w14:paraId="29DB5B42" w14:textId="77777777" w:rsidR="00153B15" w:rsidRDefault="00153B15" w:rsidP="00153B15"/>
        </w:tc>
      </w:tr>
      <w:tr w:rsidR="00153B15" w14:paraId="13AF4329" w14:textId="77777777" w:rsidTr="00153B15">
        <w:tc>
          <w:tcPr>
            <w:tcW w:w="1101" w:type="dxa"/>
          </w:tcPr>
          <w:p w14:paraId="059E8E58" w14:textId="77777777" w:rsidR="00153B15" w:rsidRPr="00153B15" w:rsidRDefault="00153B15" w:rsidP="00153B15">
            <w:pPr>
              <w:rPr>
                <w:b/>
                <w:bCs/>
              </w:rPr>
            </w:pPr>
            <w:r w:rsidRPr="00153B15">
              <w:rPr>
                <w:b/>
                <w:bCs/>
              </w:rPr>
              <w:t>NSP</w:t>
            </w:r>
          </w:p>
        </w:tc>
        <w:tc>
          <w:tcPr>
            <w:tcW w:w="2863" w:type="dxa"/>
          </w:tcPr>
          <w:p w14:paraId="2EC78270" w14:textId="77777777" w:rsidR="00153B15" w:rsidRDefault="00153B15" w:rsidP="00153B15">
            <w:r>
              <w:t>Nationaal Strategisch plan</w:t>
            </w:r>
          </w:p>
        </w:tc>
        <w:tc>
          <w:tcPr>
            <w:tcW w:w="2807" w:type="dxa"/>
          </w:tcPr>
          <w:p w14:paraId="36E3CC91" w14:textId="77777777" w:rsidR="00153B15" w:rsidRDefault="00153B15" w:rsidP="00153B15">
            <w:r>
              <w:t>Het plan dat elke lidstaat moet opmaken, waarin de beschrijving staat hoe deze lidstaat het Europees GLB gaat implementeren. Zowel de maatregelen, de controles, de financiering als de modaliteiten staan hierin beschreven.</w:t>
            </w:r>
          </w:p>
        </w:tc>
        <w:tc>
          <w:tcPr>
            <w:tcW w:w="2517" w:type="dxa"/>
          </w:tcPr>
          <w:p w14:paraId="5C2BB443" w14:textId="77777777" w:rsidR="00153B15" w:rsidRDefault="00153B15" w:rsidP="00153B15"/>
        </w:tc>
      </w:tr>
      <w:tr w:rsidR="00153B15" w14:paraId="1A240CDD" w14:textId="77777777" w:rsidTr="00153B15">
        <w:tc>
          <w:tcPr>
            <w:tcW w:w="1101" w:type="dxa"/>
          </w:tcPr>
          <w:p w14:paraId="45B0470C" w14:textId="77777777" w:rsidR="00153B15" w:rsidRPr="00153B15" w:rsidRDefault="00153B15" w:rsidP="00153B15">
            <w:pPr>
              <w:rPr>
                <w:b/>
                <w:bCs/>
              </w:rPr>
            </w:pPr>
            <w:r w:rsidRPr="00153B15">
              <w:rPr>
                <w:b/>
                <w:bCs/>
              </w:rPr>
              <w:t>OC</w:t>
            </w:r>
          </w:p>
        </w:tc>
        <w:tc>
          <w:tcPr>
            <w:tcW w:w="2863" w:type="dxa"/>
          </w:tcPr>
          <w:p w14:paraId="16A27852" w14:textId="77777777" w:rsidR="00153B15" w:rsidRDefault="00153B15" w:rsidP="00153B15">
            <w:r>
              <w:t>Organische koolstof</w:t>
            </w:r>
          </w:p>
        </w:tc>
        <w:tc>
          <w:tcPr>
            <w:tcW w:w="2807" w:type="dxa"/>
          </w:tcPr>
          <w:p w14:paraId="71EE96E9" w14:textId="77777777" w:rsidR="00153B15" w:rsidRDefault="00153B15" w:rsidP="00153B15">
            <w:r>
              <w:t>Wanneer organisch materiaal afgebroken is, spreken we van organische stof. Organische stof is een mengsel van complexe chemische verbindingen en bestaat voor ±50% uit organische koolstof.</w:t>
            </w:r>
          </w:p>
        </w:tc>
        <w:tc>
          <w:tcPr>
            <w:tcW w:w="2517" w:type="dxa"/>
          </w:tcPr>
          <w:p w14:paraId="69206087" w14:textId="77777777" w:rsidR="00153B15" w:rsidRDefault="00153B15" w:rsidP="00153B15"/>
        </w:tc>
      </w:tr>
      <w:tr w:rsidR="00153B15" w14:paraId="3A31AE2F" w14:textId="77777777" w:rsidTr="00153B15">
        <w:tc>
          <w:tcPr>
            <w:tcW w:w="1101" w:type="dxa"/>
          </w:tcPr>
          <w:p w14:paraId="740E2A63" w14:textId="77777777" w:rsidR="00153B15" w:rsidRPr="00153B15" w:rsidRDefault="00153B15" w:rsidP="00153B15">
            <w:pPr>
              <w:rPr>
                <w:b/>
                <w:bCs/>
              </w:rPr>
            </w:pPr>
            <w:r w:rsidRPr="00153B15">
              <w:rPr>
                <w:b/>
                <w:bCs/>
              </w:rPr>
              <w:t>pH</w:t>
            </w:r>
          </w:p>
        </w:tc>
        <w:tc>
          <w:tcPr>
            <w:tcW w:w="2863" w:type="dxa"/>
          </w:tcPr>
          <w:p w14:paraId="5E7D0954" w14:textId="77777777" w:rsidR="00153B15" w:rsidRDefault="00153B15" w:rsidP="00153B15">
            <w:r>
              <w:t>Zuurtegraad</w:t>
            </w:r>
          </w:p>
        </w:tc>
        <w:tc>
          <w:tcPr>
            <w:tcW w:w="2807" w:type="dxa"/>
          </w:tcPr>
          <w:p w14:paraId="7DDBD4F9" w14:textId="77777777" w:rsidR="00153B15" w:rsidRDefault="00153B15" w:rsidP="00153B15">
            <w:r>
              <w:t>De pH is een maat voor de zuurtegraad</w:t>
            </w:r>
          </w:p>
        </w:tc>
        <w:tc>
          <w:tcPr>
            <w:tcW w:w="2517" w:type="dxa"/>
          </w:tcPr>
          <w:p w14:paraId="75863F27" w14:textId="77777777" w:rsidR="00153B15" w:rsidRDefault="00153B15" w:rsidP="00153B15"/>
        </w:tc>
      </w:tr>
      <w:tr w:rsidR="00153B15" w14:paraId="7CE507C9" w14:textId="77777777" w:rsidTr="00153B15">
        <w:tc>
          <w:tcPr>
            <w:tcW w:w="1101" w:type="dxa"/>
          </w:tcPr>
          <w:p w14:paraId="1EF41406" w14:textId="77777777" w:rsidR="00153B15" w:rsidRPr="00153B15" w:rsidRDefault="00153B15" w:rsidP="00153B15">
            <w:pPr>
              <w:rPr>
                <w:b/>
                <w:bCs/>
              </w:rPr>
            </w:pPr>
            <w:r w:rsidRPr="00153B15">
              <w:rPr>
                <w:b/>
                <w:bCs/>
              </w:rPr>
              <w:t>RBE</w:t>
            </w:r>
          </w:p>
        </w:tc>
        <w:tc>
          <w:tcPr>
            <w:tcW w:w="2863" w:type="dxa"/>
          </w:tcPr>
          <w:p w14:paraId="14B0E095" w14:textId="77777777" w:rsidR="00153B15" w:rsidRDefault="00153B15" w:rsidP="00153B15">
            <w:r>
              <w:t>Beheerseis</w:t>
            </w:r>
          </w:p>
        </w:tc>
        <w:tc>
          <w:tcPr>
            <w:tcW w:w="2807" w:type="dxa"/>
          </w:tcPr>
          <w:p w14:paraId="60A462A8" w14:textId="77777777" w:rsidR="00153B15" w:rsidRDefault="00153B15" w:rsidP="00153B15">
            <w:r w:rsidRPr="007E17D3">
              <w:t xml:space="preserve">De uit de regelgeving voortvloeiende </w:t>
            </w:r>
            <w:proofErr w:type="spellStart"/>
            <w:r w:rsidRPr="007E17D3">
              <w:t>beheerseisen</w:t>
            </w:r>
            <w:proofErr w:type="spellEnd"/>
            <w:r w:rsidRPr="007E17D3">
              <w:t xml:space="preserve"> (RBE) zijn gebaseerd op 13 Europese richtlijnen en verordeningen die betrekking hebben op milieu, volksgezondheid, diergezondheid, gezondheid van planten en dierenwelzijn. </w:t>
            </w:r>
          </w:p>
        </w:tc>
        <w:tc>
          <w:tcPr>
            <w:tcW w:w="2517" w:type="dxa"/>
          </w:tcPr>
          <w:p w14:paraId="1D69BF85" w14:textId="77777777" w:rsidR="00153B15" w:rsidRDefault="00153B15" w:rsidP="00153B15"/>
        </w:tc>
      </w:tr>
      <w:tr w:rsidR="00153B15" w14:paraId="3EB9F77E" w14:textId="77777777" w:rsidTr="00153B15">
        <w:tc>
          <w:tcPr>
            <w:tcW w:w="1101" w:type="dxa"/>
          </w:tcPr>
          <w:p w14:paraId="7968AC3E" w14:textId="77777777" w:rsidR="00153B15" w:rsidRPr="00153B15" w:rsidRDefault="00153B15" w:rsidP="00153B15">
            <w:pPr>
              <w:rPr>
                <w:b/>
                <w:bCs/>
              </w:rPr>
            </w:pPr>
            <w:r w:rsidRPr="00153B15">
              <w:rPr>
                <w:b/>
                <w:bCs/>
              </w:rPr>
              <w:t>SBZ</w:t>
            </w:r>
          </w:p>
        </w:tc>
        <w:tc>
          <w:tcPr>
            <w:tcW w:w="2863" w:type="dxa"/>
          </w:tcPr>
          <w:p w14:paraId="3FA4BB0A" w14:textId="77777777" w:rsidR="00153B15" w:rsidRDefault="00153B15" w:rsidP="00153B15">
            <w:r>
              <w:t>Speciale Beschermingszones</w:t>
            </w:r>
          </w:p>
        </w:tc>
        <w:tc>
          <w:tcPr>
            <w:tcW w:w="2807" w:type="dxa"/>
          </w:tcPr>
          <w:p w14:paraId="2DA8337E" w14:textId="77777777" w:rsidR="00153B15" w:rsidRDefault="00153B15" w:rsidP="00153B15"/>
        </w:tc>
        <w:tc>
          <w:tcPr>
            <w:tcW w:w="2517" w:type="dxa"/>
          </w:tcPr>
          <w:p w14:paraId="28CC3FD8" w14:textId="77777777" w:rsidR="00153B15" w:rsidRDefault="00153B15" w:rsidP="00153B15"/>
        </w:tc>
      </w:tr>
      <w:tr w:rsidR="00153B15" w14:paraId="79BF9DA0" w14:textId="77777777" w:rsidTr="00153B15">
        <w:tc>
          <w:tcPr>
            <w:tcW w:w="1101" w:type="dxa"/>
            <w:tcBorders>
              <w:bottom w:val="single" w:sz="4" w:space="0" w:color="auto"/>
            </w:tcBorders>
          </w:tcPr>
          <w:p w14:paraId="7F58752F" w14:textId="77777777" w:rsidR="00153B15" w:rsidRPr="00153B15" w:rsidRDefault="00153B15" w:rsidP="00153B15">
            <w:pPr>
              <w:rPr>
                <w:b/>
                <w:bCs/>
              </w:rPr>
            </w:pPr>
            <w:r w:rsidRPr="00153B15">
              <w:rPr>
                <w:b/>
                <w:bCs/>
              </w:rPr>
              <w:t>SVC</w:t>
            </w:r>
          </w:p>
        </w:tc>
        <w:tc>
          <w:tcPr>
            <w:tcW w:w="2863" w:type="dxa"/>
            <w:tcBorders>
              <w:bottom w:val="single" w:sz="4" w:space="0" w:color="auto"/>
            </w:tcBorders>
          </w:tcPr>
          <w:p w14:paraId="7F949929" w14:textId="77777777" w:rsidR="00153B15" w:rsidRDefault="00153B15" w:rsidP="00153B15">
            <w:r>
              <w:t>Standaard Verdiencapaciteit</w:t>
            </w:r>
          </w:p>
        </w:tc>
        <w:tc>
          <w:tcPr>
            <w:tcW w:w="2807" w:type="dxa"/>
            <w:tcBorders>
              <w:bottom w:val="single" w:sz="4" w:space="0" w:color="auto"/>
            </w:tcBorders>
          </w:tcPr>
          <w:p w14:paraId="02C4BB4D" w14:textId="7E990DA5" w:rsidR="00153B15" w:rsidRDefault="00153B15" w:rsidP="00153B15">
            <w:r>
              <w:t>Cijfer dat objectieve bedrijfsactiviteit uitdrukt aan de hand van standaard verdiencoëfficiënten en op basis van reële arealen en aantal dieren. Wordt gehanteerd voor definitie actieve boer en in het VLIF</w:t>
            </w:r>
          </w:p>
        </w:tc>
        <w:tc>
          <w:tcPr>
            <w:tcW w:w="2517" w:type="dxa"/>
          </w:tcPr>
          <w:p w14:paraId="505220C2" w14:textId="77777777" w:rsidR="00153B15" w:rsidRDefault="00153B15" w:rsidP="00153B15"/>
        </w:tc>
      </w:tr>
      <w:tr w:rsidR="00153B15" w14:paraId="75F2FDA9" w14:textId="77777777" w:rsidTr="00153B15">
        <w:tc>
          <w:tcPr>
            <w:tcW w:w="1101" w:type="dxa"/>
            <w:tcBorders>
              <w:bottom w:val="single" w:sz="4" w:space="0" w:color="auto"/>
            </w:tcBorders>
          </w:tcPr>
          <w:p w14:paraId="470EEA3A" w14:textId="77777777" w:rsidR="00153B15" w:rsidRPr="00153B15" w:rsidRDefault="00153B15" w:rsidP="00153B15">
            <w:pPr>
              <w:rPr>
                <w:b/>
                <w:bCs/>
              </w:rPr>
            </w:pPr>
            <w:r w:rsidRPr="00153B15">
              <w:rPr>
                <w:b/>
                <w:bCs/>
              </w:rPr>
              <w:t>VEN</w:t>
            </w:r>
          </w:p>
        </w:tc>
        <w:tc>
          <w:tcPr>
            <w:tcW w:w="2863" w:type="dxa"/>
            <w:tcBorders>
              <w:bottom w:val="single" w:sz="4" w:space="0" w:color="auto"/>
            </w:tcBorders>
          </w:tcPr>
          <w:p w14:paraId="223C8A84" w14:textId="77777777" w:rsidR="00153B15" w:rsidRDefault="00153B15" w:rsidP="00153B15">
            <w:r>
              <w:t>Vlaams Ecologisch Netwerk</w:t>
            </w:r>
          </w:p>
        </w:tc>
        <w:tc>
          <w:tcPr>
            <w:tcW w:w="2807" w:type="dxa"/>
            <w:tcBorders>
              <w:bottom w:val="single" w:sz="4" w:space="0" w:color="auto"/>
            </w:tcBorders>
          </w:tcPr>
          <w:p w14:paraId="079A9C75" w14:textId="77777777" w:rsidR="00153B15" w:rsidRPr="007E17D3" w:rsidRDefault="00153B15" w:rsidP="00153B15">
            <w:r w:rsidRPr="007E17D3">
              <w:t>Het Vlaams Ecologisch Netwerk is het geheel van gebieden met een actuele of potentiële hoge natuurwaarde waarin een specifiek beleid inzake natuurbehoud gevoerd wordt.</w:t>
            </w:r>
            <w:r>
              <w:t xml:space="preserve"> Relevant in het GLB </w:t>
            </w:r>
            <w:r>
              <w:lastRenderedPageBreak/>
              <w:t>gezien er bemestingsvrije bufferstroken van 10 meter moeten aangehouden worden in dit gebied.</w:t>
            </w:r>
          </w:p>
        </w:tc>
        <w:tc>
          <w:tcPr>
            <w:tcW w:w="2517" w:type="dxa"/>
          </w:tcPr>
          <w:p w14:paraId="5170F850" w14:textId="77777777" w:rsidR="00153B15" w:rsidRDefault="00153B15" w:rsidP="00153B15"/>
        </w:tc>
      </w:tr>
      <w:tr w:rsidR="00153B15" w14:paraId="38B491A2" w14:textId="77777777" w:rsidTr="00153B15">
        <w:tc>
          <w:tcPr>
            <w:tcW w:w="1101" w:type="dxa"/>
            <w:tcBorders>
              <w:top w:val="single" w:sz="4" w:space="0" w:color="auto"/>
              <w:left w:val="single" w:sz="4" w:space="0" w:color="auto"/>
              <w:bottom w:val="single" w:sz="4" w:space="0" w:color="auto"/>
              <w:right w:val="single" w:sz="4" w:space="0" w:color="auto"/>
            </w:tcBorders>
          </w:tcPr>
          <w:p w14:paraId="05FA2C1E" w14:textId="77777777" w:rsidR="00153B15" w:rsidRPr="00153B15" w:rsidRDefault="00153B15" w:rsidP="00153B15">
            <w:pPr>
              <w:rPr>
                <w:b/>
                <w:bCs/>
              </w:rPr>
            </w:pPr>
            <w:r w:rsidRPr="00153B15">
              <w:rPr>
                <w:b/>
                <w:bCs/>
              </w:rPr>
              <w:t>VG</w:t>
            </w:r>
          </w:p>
        </w:tc>
        <w:tc>
          <w:tcPr>
            <w:tcW w:w="2863" w:type="dxa"/>
            <w:tcBorders>
              <w:top w:val="single" w:sz="4" w:space="0" w:color="auto"/>
              <w:left w:val="single" w:sz="4" w:space="0" w:color="auto"/>
              <w:bottom w:val="single" w:sz="4" w:space="0" w:color="auto"/>
              <w:right w:val="single" w:sz="4" w:space="0" w:color="auto"/>
            </w:tcBorders>
          </w:tcPr>
          <w:p w14:paraId="697B27C7" w14:textId="77777777" w:rsidR="00153B15" w:rsidRDefault="00153B15" w:rsidP="00153B15">
            <w:r>
              <w:t>Vanggewas</w:t>
            </w:r>
          </w:p>
        </w:tc>
        <w:tc>
          <w:tcPr>
            <w:tcW w:w="2807" w:type="dxa"/>
            <w:tcBorders>
              <w:top w:val="single" w:sz="4" w:space="0" w:color="auto"/>
              <w:left w:val="single" w:sz="4" w:space="0" w:color="auto"/>
              <w:bottom w:val="single" w:sz="4" w:space="0" w:color="auto"/>
            </w:tcBorders>
          </w:tcPr>
          <w:p w14:paraId="34B1F5EE" w14:textId="77777777" w:rsidR="00153B15" w:rsidRDefault="00153B15" w:rsidP="00153B15">
            <w:r w:rsidRPr="00BD62CB">
              <w:t>Een “vanggewas” is een groenbedekker die (na de oogst) overgebleven stikstof uit de bodem opneemt.</w:t>
            </w:r>
          </w:p>
        </w:tc>
        <w:tc>
          <w:tcPr>
            <w:tcW w:w="2517" w:type="dxa"/>
          </w:tcPr>
          <w:p w14:paraId="2A346FDF" w14:textId="77777777" w:rsidR="00153B15" w:rsidRDefault="00153B15" w:rsidP="00153B15"/>
        </w:tc>
      </w:tr>
      <w:tr w:rsidR="00153B15" w14:paraId="168768E4" w14:textId="77777777" w:rsidTr="00153B15">
        <w:tc>
          <w:tcPr>
            <w:tcW w:w="1101" w:type="dxa"/>
            <w:tcBorders>
              <w:top w:val="single" w:sz="4" w:space="0" w:color="auto"/>
            </w:tcBorders>
          </w:tcPr>
          <w:p w14:paraId="0243C29B" w14:textId="77777777" w:rsidR="00153B15" w:rsidRPr="00153B15" w:rsidRDefault="00153B15" w:rsidP="00153B15">
            <w:pPr>
              <w:rPr>
                <w:b/>
                <w:bCs/>
              </w:rPr>
            </w:pPr>
            <w:r w:rsidRPr="00153B15">
              <w:rPr>
                <w:b/>
                <w:bCs/>
              </w:rPr>
              <w:t>VHA</w:t>
            </w:r>
          </w:p>
        </w:tc>
        <w:tc>
          <w:tcPr>
            <w:tcW w:w="2863" w:type="dxa"/>
            <w:tcBorders>
              <w:top w:val="single" w:sz="4" w:space="0" w:color="auto"/>
            </w:tcBorders>
          </w:tcPr>
          <w:p w14:paraId="7C8D641C" w14:textId="77777777" w:rsidR="00153B15" w:rsidRDefault="00153B15" w:rsidP="00153B15">
            <w:r>
              <w:t>Vlaamse Hydrografische Atlas</w:t>
            </w:r>
          </w:p>
        </w:tc>
        <w:tc>
          <w:tcPr>
            <w:tcW w:w="2807" w:type="dxa"/>
            <w:tcBorders>
              <w:top w:val="single" w:sz="4" w:space="0" w:color="auto"/>
            </w:tcBorders>
          </w:tcPr>
          <w:p w14:paraId="57468208" w14:textId="77777777" w:rsidR="00153B15" w:rsidRDefault="00153B15" w:rsidP="00153B15">
            <w:r w:rsidRPr="00A3766B">
              <w:t>De VHA beschrijft de toestand van de waterlopen en de wijze waarop ze beheerd worden.</w:t>
            </w:r>
          </w:p>
        </w:tc>
        <w:tc>
          <w:tcPr>
            <w:tcW w:w="2517" w:type="dxa"/>
          </w:tcPr>
          <w:p w14:paraId="46F7410D" w14:textId="77777777" w:rsidR="00153B15" w:rsidRDefault="00153B15" w:rsidP="00153B15">
            <w:r w:rsidRPr="00A3766B">
              <w:t>https://www.vmm.be/data/vlaamse-hydrografische-atlas</w:t>
            </w:r>
          </w:p>
        </w:tc>
      </w:tr>
      <w:tr w:rsidR="00153B15" w14:paraId="6E861528" w14:textId="77777777" w:rsidTr="00153B15">
        <w:tc>
          <w:tcPr>
            <w:tcW w:w="1101" w:type="dxa"/>
            <w:tcBorders>
              <w:bottom w:val="single" w:sz="4" w:space="0" w:color="auto"/>
            </w:tcBorders>
          </w:tcPr>
          <w:p w14:paraId="63CFAC25" w14:textId="77777777" w:rsidR="00153B15" w:rsidRPr="00153B15" w:rsidRDefault="00153B15" w:rsidP="00153B15">
            <w:pPr>
              <w:rPr>
                <w:b/>
                <w:bCs/>
              </w:rPr>
            </w:pPr>
            <w:r w:rsidRPr="00153B15">
              <w:rPr>
                <w:b/>
                <w:bCs/>
              </w:rPr>
              <w:t>VLIF</w:t>
            </w:r>
          </w:p>
        </w:tc>
        <w:tc>
          <w:tcPr>
            <w:tcW w:w="2863" w:type="dxa"/>
            <w:tcBorders>
              <w:bottom w:val="single" w:sz="4" w:space="0" w:color="auto"/>
            </w:tcBorders>
          </w:tcPr>
          <w:p w14:paraId="310C05EC" w14:textId="77777777" w:rsidR="00153B15" w:rsidRDefault="00153B15" w:rsidP="00153B15">
            <w:r>
              <w:t>Vlaams Landbouw Investeringsfonds</w:t>
            </w:r>
          </w:p>
        </w:tc>
        <w:tc>
          <w:tcPr>
            <w:tcW w:w="2807" w:type="dxa"/>
            <w:tcBorders>
              <w:bottom w:val="single" w:sz="4" w:space="0" w:color="auto"/>
            </w:tcBorders>
          </w:tcPr>
          <w:p w14:paraId="354BF997" w14:textId="77777777" w:rsidR="00153B15" w:rsidRDefault="00153B15" w:rsidP="00153B15">
            <w:r w:rsidRPr="00BA0A7D">
              <w:t>Het Vlaams Landbouw</w:t>
            </w:r>
            <w:r>
              <w:t xml:space="preserve"> I</w:t>
            </w:r>
            <w:r w:rsidRPr="00BA0A7D">
              <w:t>nvesteringsfonds ondersteunt de Vlaamse land- en tuinbouw. Dit gebeurt door duurzame investeringen te stimuleren om de structuur van de land- en tuinbouwbedrijven te verbeteren.</w:t>
            </w:r>
          </w:p>
        </w:tc>
        <w:tc>
          <w:tcPr>
            <w:tcW w:w="2517" w:type="dxa"/>
          </w:tcPr>
          <w:p w14:paraId="3EB2DAF1" w14:textId="77777777" w:rsidR="00153B15" w:rsidRDefault="00153B15" w:rsidP="00153B15"/>
        </w:tc>
      </w:tr>
      <w:tr w:rsidR="00153B15" w14:paraId="601325D8" w14:textId="77777777" w:rsidTr="00153B15">
        <w:tc>
          <w:tcPr>
            <w:tcW w:w="1101" w:type="dxa"/>
            <w:tcBorders>
              <w:top w:val="single" w:sz="4" w:space="0" w:color="auto"/>
              <w:left w:val="single" w:sz="4" w:space="0" w:color="auto"/>
              <w:bottom w:val="single" w:sz="4" w:space="0" w:color="auto"/>
              <w:right w:val="single" w:sz="4" w:space="0" w:color="auto"/>
            </w:tcBorders>
          </w:tcPr>
          <w:p w14:paraId="28E695EB" w14:textId="77777777" w:rsidR="00153B15" w:rsidRPr="00153B15" w:rsidRDefault="00153B15" w:rsidP="00153B15">
            <w:pPr>
              <w:rPr>
                <w:b/>
                <w:bCs/>
              </w:rPr>
            </w:pPr>
            <w:r w:rsidRPr="00153B15">
              <w:rPr>
                <w:b/>
                <w:bCs/>
              </w:rPr>
              <w:t>VZA</w:t>
            </w:r>
          </w:p>
        </w:tc>
        <w:tc>
          <w:tcPr>
            <w:tcW w:w="2863" w:type="dxa"/>
            <w:tcBorders>
              <w:top w:val="single" w:sz="4" w:space="0" w:color="auto"/>
              <w:left w:val="single" w:sz="4" w:space="0" w:color="auto"/>
              <w:bottom w:val="single" w:sz="4" w:space="0" w:color="auto"/>
              <w:right w:val="single" w:sz="4" w:space="0" w:color="auto"/>
            </w:tcBorders>
          </w:tcPr>
          <w:p w14:paraId="311231E9" w14:textId="77777777" w:rsidR="00153B15" w:rsidRDefault="00153B15" w:rsidP="00153B15">
            <w:r>
              <w:t>Verzamelaanvraag</w:t>
            </w:r>
          </w:p>
        </w:tc>
        <w:tc>
          <w:tcPr>
            <w:tcW w:w="2807" w:type="dxa"/>
            <w:tcBorders>
              <w:top w:val="single" w:sz="4" w:space="0" w:color="auto"/>
              <w:left w:val="single" w:sz="4" w:space="0" w:color="auto"/>
              <w:bottom w:val="single" w:sz="4" w:space="0" w:color="auto"/>
            </w:tcBorders>
          </w:tcPr>
          <w:p w14:paraId="221193CF" w14:textId="77777777" w:rsidR="00153B15" w:rsidRDefault="00153B15" w:rsidP="00153B15">
            <w:r w:rsidRPr="008F6565">
              <w:t xml:space="preserve">De verzamelaanvraag vormt een belangrijke basis voor uw steunaanvragen, zowel voor </w:t>
            </w:r>
            <w:r>
              <w:t xml:space="preserve">bv. </w:t>
            </w:r>
            <w:r w:rsidRPr="008F6565">
              <w:t xml:space="preserve">rechtstreekse steun met o.a. de basisbetaling en de vergroening) als </w:t>
            </w:r>
            <w:proofErr w:type="spellStart"/>
            <w:r w:rsidRPr="008F6565">
              <w:t>agromilieuverbintenissen</w:t>
            </w:r>
            <w:proofErr w:type="spellEnd"/>
            <w:r w:rsidRPr="008F6565">
              <w:t>, beheerovereenkomsten, hectaresteun bio</w:t>
            </w:r>
            <w:r>
              <w:t xml:space="preserve">. </w:t>
            </w:r>
            <w:r w:rsidRPr="008F6565">
              <w:t xml:space="preserve"> Daarnaast is de verzamelaanvraag ook een essentieel onderdeel binnen de mestwetgeving en is het ook een manier om aan te geven hoe u aan bepaalde randvoorwaarden voldoet.</w:t>
            </w:r>
          </w:p>
        </w:tc>
        <w:tc>
          <w:tcPr>
            <w:tcW w:w="2517" w:type="dxa"/>
          </w:tcPr>
          <w:p w14:paraId="17602FB6" w14:textId="77777777" w:rsidR="00153B15" w:rsidRDefault="00153B15" w:rsidP="00153B15"/>
        </w:tc>
      </w:tr>
    </w:tbl>
    <w:p w14:paraId="4FD70E27" w14:textId="77777777" w:rsidR="00153B15" w:rsidRDefault="00153B15" w:rsidP="00153B15"/>
    <w:sectPr w:rsidR="00153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6B"/>
    <w:rsid w:val="00020AF5"/>
    <w:rsid w:val="00051438"/>
    <w:rsid w:val="00153B15"/>
    <w:rsid w:val="00170313"/>
    <w:rsid w:val="00193E7C"/>
    <w:rsid w:val="001F742E"/>
    <w:rsid w:val="00221E00"/>
    <w:rsid w:val="002C2D58"/>
    <w:rsid w:val="002F6301"/>
    <w:rsid w:val="003B52A5"/>
    <w:rsid w:val="00477D13"/>
    <w:rsid w:val="00481DA0"/>
    <w:rsid w:val="004F7787"/>
    <w:rsid w:val="00661F55"/>
    <w:rsid w:val="006C5BC2"/>
    <w:rsid w:val="006D2FE8"/>
    <w:rsid w:val="006F0145"/>
    <w:rsid w:val="007643FA"/>
    <w:rsid w:val="007A7EC7"/>
    <w:rsid w:val="007E17D3"/>
    <w:rsid w:val="008203A3"/>
    <w:rsid w:val="00840A28"/>
    <w:rsid w:val="00851E42"/>
    <w:rsid w:val="008B4AF8"/>
    <w:rsid w:val="008F6565"/>
    <w:rsid w:val="00902336"/>
    <w:rsid w:val="00A3766B"/>
    <w:rsid w:val="00A4373E"/>
    <w:rsid w:val="00A84C1D"/>
    <w:rsid w:val="00A9632A"/>
    <w:rsid w:val="00AD2AF4"/>
    <w:rsid w:val="00B16273"/>
    <w:rsid w:val="00B17BE3"/>
    <w:rsid w:val="00B61957"/>
    <w:rsid w:val="00BA0A7D"/>
    <w:rsid w:val="00BA17D0"/>
    <w:rsid w:val="00BD62CB"/>
    <w:rsid w:val="00C06F91"/>
    <w:rsid w:val="00C5596D"/>
    <w:rsid w:val="00C879CB"/>
    <w:rsid w:val="00D7660D"/>
    <w:rsid w:val="00DF028E"/>
    <w:rsid w:val="00E26476"/>
    <w:rsid w:val="00EE3367"/>
    <w:rsid w:val="00F20364"/>
    <w:rsid w:val="00F2467B"/>
    <w:rsid w:val="00F3187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32DA"/>
  <w15:chartTrackingRefBased/>
  <w15:docId w15:val="{15549604-0019-44CF-B961-87AA606D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3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C2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918">
      <w:bodyDiv w:val="1"/>
      <w:marLeft w:val="0"/>
      <w:marRight w:val="0"/>
      <w:marTop w:val="0"/>
      <w:marBottom w:val="0"/>
      <w:divBdr>
        <w:top w:val="none" w:sz="0" w:space="0" w:color="auto"/>
        <w:left w:val="none" w:sz="0" w:space="0" w:color="auto"/>
        <w:bottom w:val="none" w:sz="0" w:space="0" w:color="auto"/>
        <w:right w:val="none" w:sz="0" w:space="0" w:color="auto"/>
      </w:divBdr>
    </w:div>
    <w:div w:id="1224482190">
      <w:bodyDiv w:val="1"/>
      <w:marLeft w:val="0"/>
      <w:marRight w:val="0"/>
      <w:marTop w:val="0"/>
      <w:marBottom w:val="0"/>
      <w:divBdr>
        <w:top w:val="none" w:sz="0" w:space="0" w:color="auto"/>
        <w:left w:val="none" w:sz="0" w:space="0" w:color="auto"/>
        <w:bottom w:val="none" w:sz="0" w:space="0" w:color="auto"/>
        <w:right w:val="none" w:sz="0" w:space="0" w:color="auto"/>
      </w:divBdr>
    </w:div>
    <w:div w:id="1451321418">
      <w:bodyDiv w:val="1"/>
      <w:marLeft w:val="0"/>
      <w:marRight w:val="0"/>
      <w:marTop w:val="0"/>
      <w:marBottom w:val="0"/>
      <w:divBdr>
        <w:top w:val="none" w:sz="0" w:space="0" w:color="auto"/>
        <w:left w:val="none" w:sz="0" w:space="0" w:color="auto"/>
        <w:bottom w:val="none" w:sz="0" w:space="0" w:color="auto"/>
        <w:right w:val="none" w:sz="0" w:space="0" w:color="auto"/>
      </w:divBdr>
    </w:div>
    <w:div w:id="2085755984">
      <w:bodyDiv w:val="1"/>
      <w:marLeft w:val="0"/>
      <w:marRight w:val="0"/>
      <w:marTop w:val="0"/>
      <w:marBottom w:val="0"/>
      <w:divBdr>
        <w:top w:val="none" w:sz="0" w:space="0" w:color="auto"/>
        <w:left w:val="none" w:sz="0" w:space="0" w:color="auto"/>
        <w:bottom w:val="none" w:sz="0" w:space="0" w:color="auto"/>
        <w:right w:val="none" w:sz="0" w:space="0" w:color="auto"/>
      </w:divBdr>
      <w:divsChild>
        <w:div w:id="473524161">
          <w:marLeft w:val="0"/>
          <w:marRight w:val="0"/>
          <w:marTop w:val="0"/>
          <w:marBottom w:val="0"/>
          <w:divBdr>
            <w:top w:val="none" w:sz="0" w:space="0" w:color="auto"/>
            <w:left w:val="none" w:sz="0" w:space="0" w:color="auto"/>
            <w:bottom w:val="none" w:sz="0" w:space="0" w:color="auto"/>
            <w:right w:val="none" w:sz="0" w:space="0" w:color="auto"/>
          </w:divBdr>
          <w:divsChild>
            <w:div w:id="579146667">
              <w:marLeft w:val="0"/>
              <w:marRight w:val="0"/>
              <w:marTop w:val="0"/>
              <w:marBottom w:val="0"/>
              <w:divBdr>
                <w:top w:val="none" w:sz="0" w:space="0" w:color="auto"/>
                <w:left w:val="none" w:sz="0" w:space="0" w:color="auto"/>
                <w:bottom w:val="none" w:sz="0" w:space="0" w:color="auto"/>
                <w:right w:val="none" w:sz="0" w:space="0" w:color="auto"/>
              </w:divBdr>
              <w:divsChild>
                <w:div w:id="1130829263">
                  <w:marLeft w:val="0"/>
                  <w:marRight w:val="0"/>
                  <w:marTop w:val="0"/>
                  <w:marBottom w:val="0"/>
                  <w:divBdr>
                    <w:top w:val="none" w:sz="0" w:space="0" w:color="auto"/>
                    <w:left w:val="none" w:sz="0" w:space="0" w:color="auto"/>
                    <w:bottom w:val="none" w:sz="0" w:space="0" w:color="auto"/>
                    <w:right w:val="none" w:sz="0" w:space="0" w:color="auto"/>
                  </w:divBdr>
                  <w:divsChild>
                    <w:div w:id="2691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2228">
          <w:marLeft w:val="0"/>
          <w:marRight w:val="0"/>
          <w:marTop w:val="0"/>
          <w:marBottom w:val="0"/>
          <w:divBdr>
            <w:top w:val="none" w:sz="0" w:space="0" w:color="auto"/>
            <w:left w:val="none" w:sz="0" w:space="0" w:color="auto"/>
            <w:bottom w:val="none" w:sz="0" w:space="0" w:color="auto"/>
            <w:right w:val="none" w:sz="0" w:space="0" w:color="auto"/>
          </w:divBdr>
          <w:divsChild>
            <w:div w:id="1125319007">
              <w:marLeft w:val="0"/>
              <w:marRight w:val="0"/>
              <w:marTop w:val="0"/>
              <w:marBottom w:val="0"/>
              <w:divBdr>
                <w:top w:val="none" w:sz="0" w:space="0" w:color="auto"/>
                <w:left w:val="none" w:sz="0" w:space="0" w:color="auto"/>
                <w:bottom w:val="none" w:sz="0" w:space="0" w:color="auto"/>
                <w:right w:val="none" w:sz="0" w:space="0" w:color="auto"/>
              </w:divBdr>
              <w:divsChild>
                <w:div w:id="35082968">
                  <w:marLeft w:val="0"/>
                  <w:marRight w:val="0"/>
                  <w:marTop w:val="0"/>
                  <w:marBottom w:val="0"/>
                  <w:divBdr>
                    <w:top w:val="none" w:sz="0" w:space="0" w:color="auto"/>
                    <w:left w:val="none" w:sz="0" w:space="0" w:color="auto"/>
                    <w:bottom w:val="none" w:sz="0" w:space="0" w:color="auto"/>
                    <w:right w:val="none" w:sz="0" w:space="0" w:color="auto"/>
                  </w:divBdr>
                  <w:divsChild>
                    <w:div w:id="905803214">
                      <w:marLeft w:val="0"/>
                      <w:marRight w:val="0"/>
                      <w:marTop w:val="0"/>
                      <w:marBottom w:val="0"/>
                      <w:divBdr>
                        <w:top w:val="none" w:sz="0" w:space="0" w:color="auto"/>
                        <w:left w:val="none" w:sz="0" w:space="0" w:color="auto"/>
                        <w:bottom w:val="none" w:sz="0" w:space="0" w:color="auto"/>
                        <w:right w:val="none" w:sz="0" w:space="0" w:color="auto"/>
                      </w:divBdr>
                      <w:divsChild>
                        <w:div w:id="59209871">
                          <w:marLeft w:val="0"/>
                          <w:marRight w:val="0"/>
                          <w:marTop w:val="0"/>
                          <w:marBottom w:val="0"/>
                          <w:divBdr>
                            <w:top w:val="none" w:sz="0" w:space="0" w:color="auto"/>
                            <w:left w:val="none" w:sz="0" w:space="0" w:color="auto"/>
                            <w:bottom w:val="none" w:sz="0" w:space="0" w:color="auto"/>
                            <w:right w:val="none" w:sz="0" w:space="0" w:color="auto"/>
                          </w:divBdr>
                          <w:divsChild>
                            <w:div w:id="662050381">
                              <w:marLeft w:val="0"/>
                              <w:marRight w:val="0"/>
                              <w:marTop w:val="0"/>
                              <w:marBottom w:val="0"/>
                              <w:divBdr>
                                <w:top w:val="none" w:sz="0" w:space="0" w:color="auto"/>
                                <w:left w:val="none" w:sz="0" w:space="0" w:color="auto"/>
                                <w:bottom w:val="none" w:sz="0" w:space="0" w:color="auto"/>
                                <w:right w:val="none" w:sz="0" w:space="0" w:color="auto"/>
                              </w:divBdr>
                              <w:divsChild>
                                <w:div w:id="1956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05A629C8714A96AB1630F9B39A4D" ma:contentTypeVersion="4" ma:contentTypeDescription="Create a new document." ma:contentTypeScope="" ma:versionID="0dfd9ec325e7ca90c353f1fbb698c540">
  <xsd:schema xmlns:xsd="http://www.w3.org/2001/XMLSchema" xmlns:xs="http://www.w3.org/2001/XMLSchema" xmlns:p="http://schemas.microsoft.com/office/2006/metadata/properties" xmlns:ns2="e6252476-e9d9-45a7-8b9b-6ee08e922f9e" xmlns:ns3="98eb2247-0ef8-4b26-922e-33f27c9d4a0a" targetNamespace="http://schemas.microsoft.com/office/2006/metadata/properties" ma:root="true" ma:fieldsID="e1cdd880497d8b4c9c3e318142124c6d" ns2:_="" ns3:_="">
    <xsd:import namespace="e6252476-e9d9-45a7-8b9b-6ee08e922f9e"/>
    <xsd:import namespace="98eb2247-0ef8-4b26-922e-33f27c9d4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2476-e9d9-45a7-8b9b-6ee08e922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b2247-0ef8-4b26-922e-33f27c9d4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AD76C-17C2-44E5-936D-37A666B2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52476-e9d9-45a7-8b9b-6ee08e922f9e"/>
    <ds:schemaRef ds:uri="98eb2247-0ef8-4b26-922e-33f27c9d4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3E47-275F-471A-8035-00B82D01F0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3EDD59-C92B-4698-B769-402BE7619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6791</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Boerenbond en Landelijke Gilden</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Boey</dc:creator>
  <cp:keywords/>
  <dc:description/>
  <cp:lastModifiedBy>Lieven Vancoillie</cp:lastModifiedBy>
  <cp:revision>2</cp:revision>
  <dcterms:created xsi:type="dcterms:W3CDTF">2023-02-03T08:43:00Z</dcterms:created>
  <dcterms:modified xsi:type="dcterms:W3CDTF">2023-02-03T08:43:00Z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0x010100471505A629C8714A96AB1630F9B39A4D</vt:lpwstr>
  </property>
</Properties>
</file>